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1786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3060"/>
        <w:gridCol w:w="1110"/>
        <w:gridCol w:w="7065"/>
        <w:gridCol w:w="1410"/>
        <w:gridCol w:w="2880"/>
        <w:gridCol w:w="1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863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Q5,357.14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Q6,889.00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Q10,335.00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Q27,556.00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Q13,778.00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Q5,167.00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MARTÍNEZ BERGANZA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PÉREZ DE CHINCHILLA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HÉISEL NATALÍ ARREOLA MARTÍNEZ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GLENDA MARISOL SANDOVAL PORTILLO DE RODRÍGUEZ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JURIDICOS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Q2,142.86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PAPO PROPORCIONAL POR SOLICITUD DE RESCISIÓN DE CONTRATO A PARTIR DEL 06 DE FEBRERO.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Q13,091.00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JUÁREZ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VELÁSQUEZ DE LEÓN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ORTÍZ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MAYÉN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 DEL SISTEMA GUATEMALTECO DE ÁREAS PROTEGIDAS -SIGAP-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ASESORA DE ASUNTOS JURIDICOS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Q11,442.86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Q12,825.00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Q6,428.57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ROBERTO BARRIOS AGUILERA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Q12,825.00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Q8,791.07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Q3,857.14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Q5,142.86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7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Q4,928.57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06/02/2019 AL 30/06/2019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06/03/2019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8AF703A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43E6E42"/>
    <w:rsid w:val="25385550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2414E9D"/>
    <w:rsid w:val="545A5750"/>
    <w:rsid w:val="54836455"/>
    <w:rsid w:val="554F48A4"/>
    <w:rsid w:val="570E090D"/>
    <w:rsid w:val="574125EB"/>
    <w:rsid w:val="58980996"/>
    <w:rsid w:val="5C3C259D"/>
    <w:rsid w:val="615D7E7A"/>
    <w:rsid w:val="65E94539"/>
    <w:rsid w:val="68B30613"/>
    <w:rsid w:val="68FA0884"/>
    <w:rsid w:val="693C6F32"/>
    <w:rsid w:val="6B8713B5"/>
    <w:rsid w:val="6E892514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2577</Words>
  <Characters>14749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2019-03-08T16:51:19Z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